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27" w:rsidRPr="00B72E3A" w:rsidRDefault="00440B27">
      <w:pPr>
        <w:rPr>
          <w:rFonts w:ascii="Times New Roman" w:hAnsi="Times New Roman" w:cs="Times New Roman"/>
          <w:sz w:val="28"/>
          <w:szCs w:val="28"/>
        </w:rPr>
      </w:pPr>
      <w:r w:rsidRPr="00440B27">
        <w:rPr>
          <w:rFonts w:ascii="Times New Roman" w:hAnsi="Times New Roman" w:cs="Times New Roman"/>
          <w:sz w:val="28"/>
          <w:szCs w:val="28"/>
        </w:rPr>
        <w:t>Внешняя политика Александра 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40B27">
        <w:rPr>
          <w:rFonts w:ascii="Times New Roman" w:hAnsi="Times New Roman" w:cs="Times New Roman"/>
          <w:b/>
          <w:sz w:val="28"/>
          <w:szCs w:val="28"/>
        </w:rPr>
        <w:t xml:space="preserve">Тема: Внешняя политика Александра 2.                                                                                                                                   </w:t>
      </w:r>
      <w:r w:rsidRPr="00AD1CC3">
        <w:rPr>
          <w:rFonts w:ascii="Times New Roman" w:hAnsi="Times New Roman" w:cs="Times New Roman"/>
          <w:b/>
          <w:sz w:val="28"/>
          <w:szCs w:val="28"/>
        </w:rPr>
        <w:t>План:</w:t>
      </w:r>
      <w:r w:rsidR="00AD1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1.Основные направления внешней политики.</w:t>
      </w:r>
      <w:r w:rsidR="00B72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2.Европейское направление.</w:t>
      </w:r>
      <w:r w:rsidR="00B72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72E3A">
        <w:rPr>
          <w:rFonts w:ascii="Times New Roman" w:hAnsi="Times New Roman" w:cs="Times New Roman"/>
          <w:sz w:val="28"/>
          <w:szCs w:val="28"/>
        </w:rPr>
        <w:t>Среднеазиатское.                                                                                                                                                    4.Дальневосточное: а)Китай б)Япония.</w:t>
      </w:r>
      <w:r w:rsidR="00AD1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5.Русско-турецкая война 1877-78 гг.</w:t>
      </w:r>
    </w:p>
    <w:p w:rsidR="00440B27" w:rsidRPr="00440B27" w:rsidRDefault="00440B27" w:rsidP="00440B27">
      <w:pPr>
        <w:rPr>
          <w:sz w:val="28"/>
          <w:szCs w:val="28"/>
        </w:rPr>
      </w:pPr>
    </w:p>
    <w:p w:rsidR="00440B27" w:rsidRPr="00440B27" w:rsidRDefault="00440B27" w:rsidP="0044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40B2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Хронологическая таблица по внешней политике Александра </w:t>
      </w:r>
      <w:r w:rsidRPr="00440B27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</w:p>
    <w:tbl>
      <w:tblPr>
        <w:tblW w:w="15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72"/>
        <w:gridCol w:w="2978"/>
        <w:gridCol w:w="2960"/>
        <w:gridCol w:w="1181"/>
        <w:gridCol w:w="2421"/>
        <w:gridCol w:w="3032"/>
      </w:tblGrid>
      <w:tr w:rsidR="00440B27" w:rsidRPr="00440B27" w:rsidTr="0093336A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Направление</w:t>
            </w:r>
          </w:p>
          <w:p w:rsidR="00440B27" w:rsidRPr="00440B27" w:rsidRDefault="00440B27" w:rsidP="0044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политики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Цель политики</w:t>
            </w:r>
          </w:p>
          <w:p w:rsidR="00440B27" w:rsidRPr="00440B27" w:rsidRDefault="00440B27" w:rsidP="00440B27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Причины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Событие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440B27" w:rsidRPr="00440B27" w:rsidTr="0093336A"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B72E3A">
            <w:pPr>
              <w:autoSpaceDE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8"/>
                <w:szCs w:val="28"/>
                <w:lang w:eastAsia="zh-CN"/>
              </w:rPr>
            </w:pPr>
            <w:r w:rsidRPr="00B72E3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zh-CN"/>
              </w:rPr>
              <w:t>1. Европейское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Восстановление международного престижа России и статуса великой державы после поражения в Крымской войне, а так же отмена унизительных статей Парижского договора.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Arial Narrow" w:eastAsia="Times New Roman" w:hAnsi="Arial Narrow" w:cs="Arial Narrow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После Крымской</w:t>
            </w:r>
            <w:r w:rsidR="007147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войны Россия оказалась в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политической изоляции перед лицом объединенного противника;</w:t>
            </w:r>
          </w:p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Крымская система пыталась сохранить политическую изоляцию и военно-стратегическую слабость России введя «нейтрализацию Черного моря». </w:t>
            </w:r>
          </w:p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октябрь 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1870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Горчаков разослал 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«циркулярную ноту»,</w:t>
            </w:r>
            <w:r w:rsidRPr="00440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уведомляющую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европейские государства о том, что Россия не считает себя связанной обязательствами «нейтрализация Черного моря» и условиями Парижского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мирного договора.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Решения Лондонской конференции означали крах Крым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кой системы. Блоку европейских государств не удалось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выполнить свою цель – сохранить политическую и воен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softHyphen/>
              <w:t xml:space="preserve">но-стратегическую слабость России. </w:t>
            </w: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ind w:firstLine="316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март </w:t>
            </w:r>
          </w:p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1871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Лондонской международной конференции это заявление Российской империи было юридически закреплено.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ind w:firstLine="316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1873-1878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Произошел процесс сближения России (Александр II), Германии (Вильгельм I) и Австро-Венгрии (Франц Иосиф I), который образовал «Союз трех императоров».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Данный альянс для России означал восстановление ее влияния на европейскую политику и обеспе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чение благоприятной международной обстановки для за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воевания Средней Азии.</w:t>
            </w:r>
          </w:p>
        </w:tc>
      </w:tr>
      <w:tr w:rsidR="00440B27" w:rsidRPr="00440B27" w:rsidTr="0093336A"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B72E3A">
            <w:pPr>
              <w:autoSpaceDE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8"/>
                <w:szCs w:val="28"/>
                <w:lang w:eastAsia="zh-CN"/>
              </w:rPr>
            </w:pPr>
            <w:r w:rsidRPr="00B72E3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zh-CN"/>
              </w:rPr>
              <w:t>2.Среднеазиатское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геополитического пространства и экономических связей.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 Желание наладить экономические связи с государственными образованиями Средней Азии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</w:t>
            </w:r>
            <w:r w:rsidRPr="00440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Бухарский эмират, Кокандское, Хивинское ханства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), изучить возможность завоевания и последующего освоения.</w:t>
            </w:r>
          </w:p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  <w:r w:rsidRPr="00440B27">
              <w:rPr>
                <w:rFonts w:ascii="Bookman Old Style" w:eastAsia="Calibri" w:hAnsi="Bookman Old Style" w:cs="Bookman Old Style"/>
                <w:sz w:val="28"/>
                <w:szCs w:val="28"/>
                <w:lang w:eastAsia="zh-CN"/>
              </w:rPr>
              <w:t xml:space="preserve">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Стрем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>ление Англии проникнуть в Среднюю Азию и превратить ее свою в колонию привело к соперничеству России с Англией и стало основой активиза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>ции русской внешней политики в этом регионе.</w:t>
            </w:r>
          </w:p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1850 -1860 гг.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Утверждение России в Казахстане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Был создан плацдарм для дальнейшего наступления вглубь Средней Азии.</w:t>
            </w:r>
          </w:p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1865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Взятие Ташкента русскими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войсками под командованием генерала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Г. 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Черняева.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1867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Образование</w:t>
            </w:r>
            <w:r w:rsidRPr="00440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Туркестанского генерал-губернаторства, ставшего центром российского присутствия в Средней Азии.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1866-1868 гг</w:t>
            </w:r>
            <w:r w:rsidRPr="00440B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Pr="00440B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Бухар</w:t>
            </w:r>
            <w:r w:rsidRPr="00440B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softHyphen/>
              <w:t xml:space="preserve">ским эмиратом в результате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ряда побед русской армии в 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1868 г.</w:t>
            </w:r>
            <w:r w:rsidRPr="00440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был подписан мирный договор.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40B27" w:rsidRPr="00440B27" w:rsidRDefault="00440B27" w:rsidP="00440B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Средняя Азия постепенно втягивалась во внутреннюю россий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>скую торговлю, став источником сельскохозяйственного сырья и рынком сбыта русского текстиля, металлических и других изде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 xml:space="preserve">лий. Создавались первые промышленные предприятия,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строились железные дороги.</w:t>
            </w: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1865-1876 гг.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Русские войска без со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 xml:space="preserve">противления взяли г. Коканд и в </w:t>
            </w:r>
            <w:r w:rsidRPr="00440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1876 г.</w:t>
            </w:r>
            <w:r w:rsidRPr="00440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ханство было оконча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 xml:space="preserve">тельно подчинено России и вошло в состав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Туркестанского генерал-губернаторства под названием Ферганская область.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Вассальную зависимость от России признала Хива.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1881 – 1884 гг.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 стороны Каспийского моря отряд </w:t>
            </w:r>
            <w:r w:rsidRPr="00440B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М.Д. Скобелева</w:t>
            </w:r>
            <w:r w:rsidRPr="00440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захватил оазис Геок-Тепе и г. Аш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 xml:space="preserve">хабад, а позже - </w:t>
            </w:r>
            <w:r w:rsidRPr="00440B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оазис Мере</w:t>
            </w:r>
            <w:r w:rsidRPr="00440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,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из которых образовалась </w:t>
            </w:r>
            <w:r w:rsidRPr="00440B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Закас</w:t>
            </w:r>
            <w:r w:rsidRPr="00440B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softHyphen/>
              <w:t>пийская область.</w:t>
            </w:r>
            <w:r w:rsidRPr="00440B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2E3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72E3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Pr="00B72E3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zh-CN"/>
              </w:rPr>
              <w:t>. Дальневосточное</w:t>
            </w:r>
          </w:p>
          <w:p w:rsidR="00440B27" w:rsidRPr="00440B27" w:rsidRDefault="00B72E3A" w:rsidP="00440B27">
            <w:pPr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а</w:t>
            </w:r>
            <w:r w:rsid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)</w:t>
            </w:r>
            <w:r w:rsidR="00440B27"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 xml:space="preserve"> Отношения с Китаем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Разграничение территории и установление выгодных торговых отношений со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странами Дальнего Востока.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1. На Дальнем Вос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 xml:space="preserve">токе активизировали свою деятельность западно-европейские страны и США, в данных условиях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Россия оживила политику в этом направлении.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1858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Был подписан Айгунский договор с Китаем о разграничении территорий по р. Амур: левый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берег Амура принадлежит России, а правый - Китаю. 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Расширяется русское присутствие в Приамурье и Приморье. Русские переселенцы продолжали осва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 xml:space="preserve">ивать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огромные территории, основываются Владивосток, Хабаровск. </w:t>
            </w:r>
          </w:p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1860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Был заключен Пекинский договор, по которому восточная граница между Россией и Китаем, пойдет вниз по течению реки Амура до места слияния с рекой Уссури.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B72E3A" w:rsidP="00440B27">
            <w:pPr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б</w:t>
            </w:r>
            <w:r w:rsid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)</w:t>
            </w:r>
            <w:r w:rsidR="00440B27" w:rsidRPr="00440B2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 xml:space="preserve"> Отношения с Японией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20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Китай и Япония надеялись получить от России помощь и защиту от бесцеремонной политики западных держав в Дальневосточном регионе, а так же установить официальные границы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между своими государствами.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февраль 1855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Согласно Симодскому договору, граница между Россией и Японией проходила между островами Уруп и Итуруп, т.е. Япония получила законные права на четыре южных острова 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Курильской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яды: Кунашир, Итуруп, Шикотан и</w:t>
            </w: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острова Хабомаи. Сахалин оставался общим владением двух стран.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6A" w:rsidRDefault="00440B27" w:rsidP="00440B2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Данные договоры создавали благоприятные условия для российской тор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softHyphen/>
              <w:t xml:space="preserve">говли на Дальнем Востоке: для русских товаров открывался доступ в японские порты и были выгодно решены </w:t>
            </w: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территориальные вопросы.</w:t>
            </w: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40B27" w:rsidRPr="0093336A" w:rsidRDefault="00440B27" w:rsidP="009333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0B27" w:rsidRPr="00440B27" w:rsidTr="0093336A"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20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36A" w:rsidRDefault="00440B27" w:rsidP="00440B2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1875 г.</w:t>
            </w: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P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3336A" w:rsidRDefault="0093336A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40B27" w:rsidRPr="0093336A" w:rsidRDefault="00440B27" w:rsidP="0093336A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0B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Заключен Санкт-Петербургский договор, согласно которому Россия уступала Японии все Курильские острова в обмен на полноправное владение Сахалином. </w:t>
            </w: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7" w:rsidRPr="00440B27" w:rsidRDefault="00440B27" w:rsidP="00440B27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6A" w:rsidRPr="00440B27" w:rsidTr="0093336A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36A" w:rsidRPr="00440B27" w:rsidRDefault="0093336A" w:rsidP="0093336A">
            <w:pPr>
              <w:autoSpaceDE w:val="0"/>
              <w:snapToGrid w:val="0"/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 xml:space="preserve">Русско-турецкая война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36A" w:rsidRPr="00440B27" w:rsidRDefault="0093336A" w:rsidP="00440B27">
            <w:pPr>
              <w:snapToGrid w:val="0"/>
              <w:spacing w:after="20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36A" w:rsidRPr="00440B27" w:rsidRDefault="0093336A" w:rsidP="00440B2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36A" w:rsidRPr="00440B27" w:rsidRDefault="0093336A" w:rsidP="00440B2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zh-CN"/>
              </w:rPr>
              <w:t>1877-78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36A" w:rsidRPr="00086035" w:rsidRDefault="0093336A" w:rsidP="009333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Сербия, Румыния и Черногория, ранее вассальные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отношению к Турции, получали независимость.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Болгария, ранее бесправная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провинция, обретала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княжества, хотя и вассальног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 форме к Турции («платящего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дань»), но фактически самостоятельного, со своим правительством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войском.</w:t>
            </w:r>
          </w:p>
          <w:p w:rsidR="0093336A" w:rsidRPr="00086035" w:rsidRDefault="0093336A" w:rsidP="009333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Турция обязалась выплатить России контрибуцию в 1410 млн.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 а в счет /з этой суммы уступила на Кавказе Kapc, Ардаган,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Баязет и Батум да еще Южную Бессарабию, отторгнутую у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Крымской войны.</w:t>
            </w:r>
          </w:p>
          <w:p w:rsidR="0093336A" w:rsidRPr="00440B27" w:rsidRDefault="0093336A" w:rsidP="00440B2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36A" w:rsidRPr="00440B27" w:rsidRDefault="0093336A" w:rsidP="00440B27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Сан-Стефанский мирный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оговор изменил всю политическую </w:t>
            </w:r>
            <w:r w:rsidRPr="00D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картину Балкан в пользу интересов России.</w:t>
            </w:r>
          </w:p>
        </w:tc>
      </w:tr>
    </w:tbl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Война Русско-турецкая 1877-78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сил между Россие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Турцией к 1877 г. </w:t>
      </w:r>
      <w:r w:rsidR="0093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</w:t>
      </w:r>
      <w:r w:rsidR="0093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 в пользу России. Русская ар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 в результате военных реформ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1862—1874 гг. стала гораздо более боеспособной, чем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</w:p>
    <w:p w:rsidR="00DC5C38" w:rsidRPr="00DC5C38" w:rsidRDefault="0006402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укомплектованной,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вооруженной. Так, пехота имела на вооружении винтовку «Бердана</w:t>
      </w:r>
    </w:p>
    <w:p w:rsidR="00DC5C38" w:rsidRPr="00DC5C38" w:rsidRDefault="0006402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американского конструктора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усовершенствованной русскими оружейниками настолько, что даже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 ее называли «русской винтовкой», а в России — «винт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овкой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Бердана», «берданкой». Эта в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интовка считалась тогда лучшей.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за три года результаты реформ полностью еще не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сказались. По сути дела, состоян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русской армии к 1877 г. 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переходным: пореформенное ужив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алось в ней с дореформенным. Не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закончено перевооружение армии, сохранялись традиционные,</w:t>
      </w:r>
    </w:p>
    <w:p w:rsidR="00DC5C38" w:rsidRPr="0006402B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исконно российские недостатки в ее материальном обеспечении —казнокрадство, взяточничество, подлоги и показуха</w:t>
      </w:r>
      <w:r w:rsidRPr="00DC5C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плох был кома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ндный состав. Он, как и прежде,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подбирался не столько по дарованиям, сколько по близости к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«верхам». Главное командование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 на себя брат царя великий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 Николай Николаевич («дядя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Низи», как звали его в царской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семье), который за всю свою жиз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даже не участвовал, а только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 еще молодым в одном-единственн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сражении под Инкерманом. Вообще этот великий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бесталанным, что поэт П.В. Ш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умахер резонно «воспел» его как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«высочайшего идиота». Когда «дяд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Низи» к старости сошел с ума,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близко знавшие его, удивили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сь, как это можно сойти с того, чего не имеешь.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армии (два корпуса численностью в 70 тыс.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человек) была выделена под ко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мандование наследника престола,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будущего Александра III, которы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 военном деле имел еще более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смутные представления, чем «дядя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Низи», поскольку он, в отличие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своего дяди, на войне никогд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присутствовал. Войсками на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кавказском театре войны командова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еще один брат царя, наместник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Кавказа, великий князь Михаил Н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иколаевич («дядя Михи») — тоже,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нем говорили, «совсем н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орел». 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генералитет и к 187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г. состоял преимущественно из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бывших николаевских служак, ко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и в молодости не блистали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талантами, а под старость теряли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то, что имели. Чуть ли не большинство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</w:p>
    <w:p w:rsidR="00DC5C38" w:rsidRPr="00DC5C38" w:rsidRDefault="0006402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Составляли Деллингсгаузен, Циммерман, Дризен ,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Шульдман, Гейман и пр. Главный штаб армии возглавлял немецкий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 А.А. Непокойчицкий. Были,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тогда в русской армии талантливые военачальники</w:t>
      </w:r>
      <w:r w:rsidR="0006402B"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</w:p>
    <w:p w:rsidR="00DC5C38" w:rsidRPr="00DC5C38" w:rsidRDefault="0006402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могли влиять на высшее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мандование. И. В. Гурко и Драгомиров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командовали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болгарским ополчением, а лег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ендарный М.Д. Скобелев в начале служил вообще «вольноопределяющим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генерала».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Дмитриевич Скобелев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этот «белый генерал», как его</w:t>
      </w:r>
      <w:r w:rsidR="0006402B"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 (он воевал только в белом м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ундире и на белом коне),—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был, несомненно, самой яркой и п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опулярной фигурой среди русских</w:t>
      </w:r>
      <w:r w:rsidR="0006402B"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военачальников второй половины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в.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Слава его необычна. При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вскоре после смерти его п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ревозносили как гения, «равного</w:t>
      </w:r>
      <w:r w:rsidR="0006402B"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Суворову», потом надолго забыли, а в со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ветской литературе до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недавних пор особо вспоминать не хотели. Между тем Скобелев —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и не чета Суворову, личность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все-таки настолько крупная, что</w:t>
      </w:r>
      <w:r w:rsidR="0006402B"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его вниманием нел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ьзя. В нем затейливо преломился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расивый и самобытный, истинно —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талант, которым в условиях царской России не находил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должного места и в р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езультате то ослеплял вспышками гениальности,</w:t>
      </w:r>
      <w:r w:rsidR="0006402B"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шокировал разбойничьими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выходками,</w:t>
      </w:r>
    </w:p>
    <w:p w:rsidR="00DC5C38" w:rsidRPr="00DC5C38" w:rsidRDefault="0006402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разменивался на авантюрные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мелочи. Воинственность являлась</w:t>
      </w:r>
      <w:r w:rsidRP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фамильной чертой Скобелева. Отец и дед его были генералами.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Судьба бросала М.Д. Скобелева с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конца света на другой, и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везде (в Польше, Дании,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Испании, Средней Азии) успевал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любую возможн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для того, чтобы повоевать.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1873 г., например, он 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прославился головокружительными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подвигами при завоевании Средней Азии и чуть было не похоронилсвою карьеру, затеяв, что называет</w:t>
      </w:r>
      <w:r w:rsidR="0006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«из любви к искусству», штур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Хивы, в то время как с другой стороны города хивинская депутация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выносила из распахнутых во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хлеб-соль в знак покорности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главнокомандующему</w:t>
      </w:r>
    </w:p>
    <w:p w:rsidR="00DC5C38" w:rsidRPr="00DC5C38" w:rsidRDefault="00CD7CB7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К.П.Кауфману.Велико было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удивление и негодование Кауфмана, когда он, принимая хлеб-соль от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Хивы, услышал, как ее штурмует п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гром пушек и крики «ура» его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подчиненный Скобелев.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 натуре Скобелев вовсе не был головорезом. Б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лестяще образованный(учился 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парижском</w:t>
      </w:r>
    </w:p>
    <w:p w:rsidR="00DC5C38" w:rsidRPr="00DC5C38" w:rsidRDefault="00CD7CB7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Пансионе Жирарде,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Петербургском университете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Академии Генерального штаба),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</w:t>
      </w:r>
    </w:p>
    <w:p w:rsidR="00DC5C38" w:rsidRPr="00DC5C38" w:rsidRDefault="00CD7CB7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английским, французским, немецким и узбекским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языками, он изучил всю военную литературу Европы и знал, что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сделал и даже сказал в схожей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Наполеон или Александр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Македонский. Скобелев заботливо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относился к солдатам, дружил с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 художником В.В.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Верещагиным.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исключительно поп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улярен в русском обществе. «Наш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Ахиллес»,— говорил о нем И.С. Ту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ргенев. Влияние же Скобелева на солдат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могло сравнит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только с влиянием Суворова.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боготворили его и верили в его неуязвимость, поскольку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всю жизнь проведший в боях, 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разу не был ранен. Солдатская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молва «удостоверяла», что Скобеле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знает заговорное слово против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(«в Туркестане купил у татарина за 10 тыс. золотых»). Под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Плевной раненый солдат расс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казывал товарищам: «Пуля прошла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его (Скобелева.— Я.Т.)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— ничего, а меня ранила».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 Скобелев в 1882 г., не д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ожив до 40 лет, в расцвете сил,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 и загадочно. Есть ве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рсия о том, что он был отравлен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наймитами царского двора, кото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изловчились подослать ему 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его последнего кутежа бутылку шамп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анского с цианистым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калием1.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Скобелев и Драгомиров, Гурко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Столетов представляли собой 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время среди русского гене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ралитета счастливые исключения.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же уровень русского кома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ндования был таков, что военный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Д.А. Милютин озабоченно записал в дн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евнике перед началом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1877—1878 гг.: «Остается одна надежда на то, что мы имеем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себя турок, предводимых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более бездарными вождями».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надежда министра оправдалась.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Турки вооружены были не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хуже, чем русские (английским,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французским и даже американск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оружием), но во всем прочем,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даже качество команд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состава, уступали русским.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Турецкие солдаты образцово повин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овались, но плохо соображали, 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офицеры были почти сплошь негр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амотны, и даже из генералов, по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признанию турецкого историка, «р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едко кто умел читать и писать».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царизм верил в легкую победу, полагая, что «дело сведется</w:t>
      </w:r>
    </w:p>
    <w:p w:rsidR="00DC5C38" w:rsidRPr="00DC5C38" w:rsidRDefault="0071473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 прогулке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Так как для него были вдвойне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 победы, одержанные под начальством особ царской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главное командование как на Д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унае, так и на Кавказе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поручено братьям царя. Д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 же выделили два корпуса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наследнику престола, и сам цар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почтил театр военных действий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присутствием.</w:t>
      </w:r>
    </w:p>
    <w:p w:rsidR="00DC5C38" w:rsidRPr="00DC5C38" w:rsidRDefault="0071473B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1877—1878гг.стала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допустило корреспондентов — своих и зарубежных.</w:t>
      </w:r>
    </w:p>
    <w:p w:rsidR="00DC5C38" w:rsidRPr="00DC5C38" w:rsidRDefault="00CD7CB7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Отныне официальные донесения уже не были единственными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о 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не. Впрочем, и корреспонденты в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новинку иной раз выдумывали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репортажи похлеще официальных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сообщений. Одного из них — Василия Немировича-Данченко —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прозвали: «Невмерович-Вральченко». Вместе с корреспондентами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всю войну и запечат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 ее в своих картинах великий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художник-баталист В.В. Верещагин.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театром войны и на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раз, как в прежних русско-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турецких войнах, стали Балкан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Сюда была нацелена Дунайская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вел. кн. Николая Никола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евича (185 тыс. человек). Турки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 здесь 165 тыс. Вспомогат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ельным театром военных действий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стал, как обычно, Кавказ. Россия в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ыставила здесь 108 тыс. человек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командованием вел. кн. Михаила Николаевича, Турция — 100 тыс.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стратегический план бы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таков: силами Дунайской армии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освободить Болгарию и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ударить на Константинополь, где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покончить с государственнос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Турции. Когда великий князь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Николаевич прибыл к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царю за инструкциями, ему было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 только одно слово: «Конс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тантинополь». На Кавказе царь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братья планировали сначала вы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ждать и далее, в зависимости от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наступать или обороняться, но, как бы то ни было, всю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предполагалось выиграть в течение одной кампании.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Турки строили более скромн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ые, но тоже победоносные планы: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четырехугольник мощн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крепостей (Силистрия, Варна,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Шумла, Рущук), затян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войну на Балканах, измотать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русских, а потом отбросить их с Балкан и захват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Румынию;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Кавказе же — просто отсидетьс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крепостях Баязет, Ардаган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 до тех пор, пока не решится исход войны на Балканах.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Война с самого начала пошл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так, как ее спланировали 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Петербурге. Так, на Кавказе, где предполагалось выжидать, русск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сразу же устремились вперед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взяли Баязет, потом Ардаган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подступили к Карсу, который слы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одной из сильнейших крепостей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 После того как русские в XIX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дважды овладевали Карсом (в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1828 г. штурмом и в 1855 г. осадой), он был так укреплен,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казался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неприступным. Однако в ночь на 6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1877 г. корпус генерала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Лорис-Меликова (будущего «полуимператора») пошел на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штурм Карса и взял его. Это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второй после взятия Измаила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Суворовым 11 декабря 1790 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классический образец ночного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штурма. Отличился здесь 24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-летний поручик А.А. Брусилов —будущий верховный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главнокомандующий,</w:t>
      </w:r>
    </w:p>
    <w:p w:rsidR="00DC5C38" w:rsidRPr="00DC5C38" w:rsidRDefault="00CD7CB7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полководец царской России.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на Балканах, где ожидалис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решающие события, действовали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силы русской армии, жа</w:t>
      </w:r>
      <w:r w:rsidR="00CD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ждали полководческих лавров сам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царь, старший из его братьев и сын-цесаревич и где Петербург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запланировал 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триумфальную победу, война скандально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затянулась. 15(27) июня 1877 г. русские войска форсировали Дунай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веером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хлынули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C38" w:rsidRPr="00DC5C38" w:rsidRDefault="000A40D7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Рущукский из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вух корпусов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командованием цесаревича — налево, против четырехугольника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крепостей; корпус генерала Н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Криденера — направо, против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Плевны; и корпус генерала Ф.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Радецкого — прямо, для удара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Балканский хребет на Константинополь. Авангард Радецкого в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 генералом И.В. Гурк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(будущим фельдмаршалом) занял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на Балканах </w:t>
      </w:r>
      <w:r w:rsidRPr="000A4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Шипкинский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перевал и тем самым открыл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армии путь на юг. Но тут ц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арские полководцы затеяли такие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 и контрмарши, что б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уквально за одну неделю все они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 друг друга из в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 и превратили войну из почти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выигранной в почти проигранную.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Рущукский отряд цесаревич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заблудился в четырехугольнике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крепостей, а корпус Криденера во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 куда-то исчез и четыре дня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о нем ничего не знал. У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тром 17 июля в главной квартире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усской армии с той стороны, где он потерялся -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померещились турки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Царь был по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днят с постели и во главе всего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 ускакал за 20 верст от вообра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жаемого неприятеля. К вечеру же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выяснилось, что Криденер не только цел, но и захватил Никополь,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он принял за Плевну. Гла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вная квартира возликовала, и на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радостях никто не позаботил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 том, чтобы Криденер меньше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праздновал взятие Никополя, а 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торопился взять Плевну —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дорожный узел Болгарии, всего в 40 км от Никополя.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спохватились, было уже п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оздно: 19 июля раньше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Криденера к Плевне подошла и заняла ее турецкая армия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Османа-паши. Таким образ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правый фланг и коммуникации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войск оказались под угрозой со стороны Плевны.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 того, с 20 августа н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ачала штурмовать Шипку еще одна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турецкая армия Сулеймана-паши,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пытавшаяся прорваться из южной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Болгарии через Балканы на соединение с двумя другими армиями,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 из которых давно засела в четырехугольнике крепостей, а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только что — в Плевне.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Шипку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обороняли всего 5 тыс. русских солдат и болгарс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ополченцев. Командовал ими генер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Н.Г. Столетов — старший брат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выдающегося ученого-физика А.Г. Столетова, высокообразованный и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талантливый военачальник. Четыре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они удерживали перевал,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превосходившего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численностью, и сохраняя для русских войск кратчайший путь на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Константинополь. Особенно тру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было героям Шипки держаться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зимой. Если убитыми за октябрь—д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екабрь 1877 г. они потеряли 700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то обмороженными и прос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замерзшими — 9,5 тыс. (число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обмороженных иногда доходило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400 в день). Героика зимних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будней Шипки («Шипкинское с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идение») увековечена в триптихе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Верещагина, названном не без 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иронии той стереотипной фразой,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русское командование телеграфировало в Петербург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раз, когда Шипку заносила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пурга, что даже стрельба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прекращалась: «На Шипке все спокойно».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пока шла борьба за Шипку, главные силы русской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армии топтались под </w:t>
      </w:r>
      <w:r w:rsidRPr="000A4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Плевной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Дважды — 20 и 30 июля — они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пытались взять ее штурмом, но был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отбиты. Это уже не вязалось с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планами царских стратегов. Цар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 главнокомандующий приуныли,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подтягивать все возможные силы к Плевне да еще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затребовали подкрепления из Петер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бурга. Собрав 100 тыс. солдат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 орудия против 45 тыс. турок с 60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пушками и посчитав, что теперь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гарантирована, назначили третий штурм Плевны на день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царских именин — 30 августа.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же Александр II пребывал в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день окрест поля сражения,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расстоянии, достаточном для тог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чтобы он мог видеть турок (в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подзорную трубу), а они не могли его убить. Он сиде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в походном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кресле на высоком холме (как 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представил его в картине «Под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Плевной» В.В. Верещагин), пил шампанское и при этом говорил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«взволнованным голосом»: «За з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 тех, которые там теперь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дерутся!»1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 был жарким, но бестолковым. Скобелев взял Г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ривицкий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редут, буквально висевший над П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левной. Момент был критический.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Скобелев рвал и метал: «Еще полк, дайте один Полк и — Плевна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моя!» — но ему не дали ни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души, ибо он, по свидетельству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Верещагина, намозолил глаз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начальству своими талантами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претензиями, а оно в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овсе не хотело видеть Скобелева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покорителем Плевны, предпочитая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это сделал какой-нибудь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Криденер. В итоге и третий 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 Плевны был отбит. 13 тыс.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и болгарских солдат уложили на царские именины зря.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Именинный пирог из начинки людской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 подносит державному брату,—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 по этому поводу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«Дубинушки» А.А. Ольхин.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«Третья Плевна» спутала вс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карты царизма и поставила под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сомнение его шансы на побе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в войне. Беды войны, которая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затягивалась и становилась все более разорительно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вызывали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ропот в стране. «Три Плевны» о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хладили пыл даже панславистов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ура-патриотов. А в Европе возник</w:t>
      </w:r>
      <w:r w:rsidR="000A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угроза антирусской коалиции: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Австро-Венгрия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Турцию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противовес России на Балкан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воспользовались плевненской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паузой для того, чтобы сговори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друг с другом о совместном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России в сл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учае, если она выиграет войну и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вознамерится покончить с Турцие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Английский историк А. Тэйлор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заключил,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империи на 40 лет».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обстановке царизм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порывался форсировать события,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этому мешала Плевна. Ос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тавлять ее с 45-тысячной армией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Османа-паши в тылу было опасн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штурмовать в четвертый раз —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рискованно. Пришлось предприн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осаду. Для этого был вызван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Петербурга герой Севастопольско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обороны 1854—1855 гг. генерал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 Тотлебен. Он окружил Плевну 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всех сторон, изолировав ее от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мира, и стал ждать, когда турки съедят все свои запасы.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пришлось долго. Лишь 10 декабря 1877 г. туркам стало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невмоготу от голода, они попыталис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прорваться из крепости сквозь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 блокады, но были отбиты и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же день сдались. Пленены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42 тыс. солдат, 2000 офицеров, 40 пашей и сам Осман-паша.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II после этого с торжест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(не дожидаясь новых неудач)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уехал из армии. Падение Пле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 стало переломным моментом 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войны. Турция лишилас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лучшей своей армии, а Россия,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 высвободила для ак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тивных действий 100 тыс. лучших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олдат, прозябавших под Плевной.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командование по сов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ету Д.А. Милютина отважилось на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безотлагат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переход через Балканский хребет,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расстройство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турок</w:t>
      </w:r>
    </w:p>
    <w:p w:rsidR="00DC5C38" w:rsidRPr="00DC5C38" w:rsidRDefault="007E15B9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падения Плевны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вмешательство западных держав «в защиту Турции».</w:t>
      </w:r>
    </w:p>
    <w:p w:rsidR="00DC5C38" w:rsidRPr="00DC5C38" w:rsidRDefault="007E15B9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военные специалисты были уверены, что зимой </w:t>
      </w:r>
      <w:r w:rsidR="00DC5C38"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форсировать Балканы нельзя. Начальник Генерального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 X. Мольтке разреши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немецким военным наблюдателям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русской армии уехать на зи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в отпуск, а Бисмарк сложил у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карту Балканского полуост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 и сказал, что до весны она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не понадобится. Переход д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ействительно был одним из самых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 в истории войн. Русские солдаты с невероятными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 втаскивали на обледене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лые кручи орудия, которые часто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людьми и лошадьми срыва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в пропасть. Генералу Гурко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донесли, что на один из пер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евалов артиллерию даже на руках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нельзя. Гурко приказал: «Втащить зубами!» — и втащили.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Перевалив через Балканы в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декабря 1877 г., русские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пошли на Константинопо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ль. Турки попытались остановить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их, но Скобелев и Гурко в битве под </w:t>
      </w:r>
      <w:r w:rsidRPr="007E1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Филиппополем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(нынешний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Пловдив) 15—17 января 1878 г. разгром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 рассеяли турецкую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армию. 11 февраля Скобелев 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занял местечко Сан-Стефано в 12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верстах от Константинополя. Рус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офицеры уже разглядывали в подзорные трубы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 турецкой столицы. Турки,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всполошились и стали просить о мире, но стоявшие за их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 Англия и Австро-Венгрия н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ачали бряцать оружием, заявляя,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не позволят России захватить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Константинополь русские могли тогда легко. Солдаты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главнокомандующий со дня на день ждал, что прикажу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из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Петербурга: брать или не брат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ь? В один из тех дней Верещагин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буквально ворвался к главнокоман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дующему и почти кричал на него: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«Оборвите телеграфные проволоки, поручите это мне — я их все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порву, немыслимо заключать мир иначе, как в Константинополе!»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Петербурга же пришла телегра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 — не брать Константинополь.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эксперты резонно от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мечали тогда, что великий князь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Николаевич должен был последовать примеру знаменитого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Евгения Савойского, который в 1708 г. проявил то, что Наполеон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 «мудрым непослушанием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подступив к Мантуе и получив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не брать крепость, Евге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сунул приказ в карман, взял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Мантую, а потом доложил, чт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приказ был получен позже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русско-турецкая война 1</w:t>
      </w:r>
      <w:r w:rsidR="007E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877—1878 гг. окончилась. Александр2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спасовал перед нажимом Англии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Австро-Венгрии, отказался от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захвата Константинополя, 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извечно желанного и как никогда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близкого, и пошел на заключение мира с турками.</w:t>
      </w:r>
    </w:p>
    <w:p w:rsidR="00DC5C38" w:rsidRPr="00DC5C38" w:rsidRDefault="00DC5C38" w:rsidP="0071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был подписан в Сан-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19 февраля 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1878 г.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от Р</w:t>
      </w:r>
      <w:r w:rsidR="0071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граф Н.П. Игнатьев.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035" w:rsidRPr="00086035" w:rsidRDefault="00DC5C38" w:rsidP="000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Сан-Стефанский мирный д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изменил всю политическую </w:t>
      </w:r>
      <w:r w:rsidRPr="00DC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 Балкан в пользу интересов России. Вот его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условия:</w:t>
      </w:r>
      <w:r w:rsidR="00086035" w:rsidRPr="000860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Сербия, Румыния и Черногория, ранее вассальные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Турции, получали независимость.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Болгария, ранее бесправная провинция, обретала статус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княжества, хотя и вассальног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 форме к Турции («платящего 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дань»), но фактически самостоятельного, со своим правительством и</w:t>
      </w:r>
      <w:r w:rsid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35"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войском.</w:t>
      </w:r>
    </w:p>
    <w:p w:rsidR="00086035" w:rsidRPr="00086035" w:rsidRDefault="00086035" w:rsidP="000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Турция обязалась выплатить России контрибуцию в 1410 млн.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а в счет /з этой суммы уступила на Кавказе Kapc, Ардаган,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Баязет и Батум да еще Южную Бессарабию, отторгнутую у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Крымской войны.</w:t>
      </w:r>
    </w:p>
    <w:p w:rsidR="00DC5C38" w:rsidRPr="00DC5C38" w:rsidRDefault="00DC5C38" w:rsidP="00DC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035" w:rsidRPr="00086035" w:rsidRDefault="00086035" w:rsidP="0006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086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33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1.сохранить себе</w:t>
      </w:r>
      <w:r w:rsidR="00714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табли</w:t>
      </w:r>
      <w:r w:rsidR="00933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цу по внешней политике</w:t>
      </w:r>
      <w:bookmarkStart w:id="0" w:name="_GoBack"/>
      <w:bookmarkEnd w:id="0"/>
      <w:r w:rsidR="00933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4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(можно распечатать) </w:t>
      </w:r>
      <w:r w:rsidR="0093336A" w:rsidRPr="00933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86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2.Проанализировать ход Русско-турецкой войны.</w:t>
      </w:r>
      <w:r w:rsidRPr="00086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плюсы и минусы ведения войны вы бы отметили</w:t>
      </w:r>
      <w:r w:rsidRPr="00086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плюсы и минусы сделать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86035" w:rsidTr="00086035">
        <w:tc>
          <w:tcPr>
            <w:tcW w:w="7280" w:type="dxa"/>
          </w:tcPr>
          <w:p w:rsidR="00086035" w:rsidRDefault="00086035" w:rsidP="00063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плюсы</w:t>
            </w:r>
          </w:p>
        </w:tc>
        <w:tc>
          <w:tcPr>
            <w:tcW w:w="7280" w:type="dxa"/>
          </w:tcPr>
          <w:p w:rsidR="00086035" w:rsidRDefault="00086035" w:rsidP="00063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минусы</w:t>
            </w:r>
          </w:p>
        </w:tc>
      </w:tr>
      <w:tr w:rsidR="00086035" w:rsidTr="00086035">
        <w:tc>
          <w:tcPr>
            <w:tcW w:w="7280" w:type="dxa"/>
          </w:tcPr>
          <w:p w:rsidR="00086035" w:rsidRDefault="00086035" w:rsidP="00063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086035" w:rsidRDefault="00086035" w:rsidP="00063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86035" w:rsidTr="00086035">
        <w:tc>
          <w:tcPr>
            <w:tcW w:w="7280" w:type="dxa"/>
          </w:tcPr>
          <w:p w:rsidR="00086035" w:rsidRDefault="00086035" w:rsidP="00063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086035" w:rsidRDefault="00086035" w:rsidP="00063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0B27" w:rsidRPr="00440B27" w:rsidRDefault="00440B27" w:rsidP="00440B27"/>
    <w:sectPr w:rsidR="00440B27" w:rsidRPr="00440B27" w:rsidSect="00440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07" w:rsidRDefault="00862607" w:rsidP="0093336A">
      <w:pPr>
        <w:spacing w:after="0" w:line="240" w:lineRule="auto"/>
      </w:pPr>
      <w:r>
        <w:separator/>
      </w:r>
    </w:p>
  </w:endnote>
  <w:endnote w:type="continuationSeparator" w:id="0">
    <w:p w:rsidR="00862607" w:rsidRDefault="00862607" w:rsidP="0093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07" w:rsidRDefault="00862607" w:rsidP="0093336A">
      <w:pPr>
        <w:spacing w:after="0" w:line="240" w:lineRule="auto"/>
      </w:pPr>
      <w:r>
        <w:separator/>
      </w:r>
    </w:p>
  </w:footnote>
  <w:footnote w:type="continuationSeparator" w:id="0">
    <w:p w:rsidR="00862607" w:rsidRDefault="00862607" w:rsidP="0093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37BB"/>
    <w:multiLevelType w:val="multilevel"/>
    <w:tmpl w:val="76226A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7"/>
    <w:rsid w:val="00063D2A"/>
    <w:rsid w:val="0006402B"/>
    <w:rsid w:val="00086035"/>
    <w:rsid w:val="000A40D7"/>
    <w:rsid w:val="00440B27"/>
    <w:rsid w:val="00687B59"/>
    <w:rsid w:val="0071473B"/>
    <w:rsid w:val="007E15B9"/>
    <w:rsid w:val="00862607"/>
    <w:rsid w:val="0093336A"/>
    <w:rsid w:val="00AD1CC3"/>
    <w:rsid w:val="00B72E3A"/>
    <w:rsid w:val="00CD7CB7"/>
    <w:rsid w:val="00D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B241"/>
  <w15:chartTrackingRefBased/>
  <w15:docId w15:val="{3AF3954A-60A9-488E-A673-556F919C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36A"/>
  </w:style>
  <w:style w:type="paragraph" w:styleId="a6">
    <w:name w:val="footer"/>
    <w:basedOn w:val="a"/>
    <w:link w:val="a7"/>
    <w:uiPriority w:val="99"/>
    <w:unhideWhenUsed/>
    <w:rsid w:val="0093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2020-04-15T16:10:00Z</dcterms:created>
  <dcterms:modified xsi:type="dcterms:W3CDTF">2020-04-15T16:10:00Z</dcterms:modified>
</cp:coreProperties>
</file>